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43 vom 25. Oktober 2010</w:t>
      </w:r>
    </w:p>
    <w:p>
      <w:r>
        <w:t>GR Gerichte, 2010-10-25, DE</w:t>
      </w:r>
    </w:p>
    <w:p>
      <w:r>
        <w:rPr>
          <w:b/>
        </w:rPr>
        <w:t xml:space="preserve">Quelle: </w:t>
      </w:r>
      <w:r>
        <w:t>https://mcp.opencaselaw.ch/entscheid/gr_gerichte_SK1 2010 43</w:t>
      </w:r>
    </w:p>
    <w:p>
      <w:r>
        <w:t>FR: GR_GERICHTE SK1 2010 43 du 25 octobre 2010</w:t>
      </w:r>
    </w:p>
    <w:p>
      <w:r>
        <w:t>IT: GR_GERICHTE SK1 2010 43 del 25 ottobre 2010</w:t>
      </w:r>
    </w:p>
    <w:p>
      <w:pPr>
        <w:pStyle w:val="Heading2"/>
      </w:pPr>
      <w:r>
        <w:t>Regeste</w:t>
      </w:r>
    </w:p>
    <w:p>
      <w:r>
        <w:t>Verletzung von Regeln des Strassenverkehrsgesetzes (SVG) | Strassenverkehrsgesetz SVG</w:t>
      </w:r>
    </w:p>
    <w:p>
      <w:pPr>
        <w:pStyle w:val="Heading2"/>
      </w:pPr>
      <w:r>
        <w:t>Erwägungen</w:t>
      </w:r>
    </w:p>
    <w:p>
      <w:r>
        <w:rPr>
          <w:b/>
        </w:rPr>
        <w:t>E. 8</w:t>
      </w:r>
    </w:p>
    <w:p>
      <w:r>
        <w:t>Im Ergebnis steht demzufolge fest, dass das angefochtene Urteil des Bezirksgerichtsausschusses Inn sowohl in Bezug auf den Schuldspruch als auch hinsichtlich der Strafzumessung zu bestätigen ist. Die Rügen von A. erweisen sich allesamt als unbegründet. Damit ist auch die vorinstanzliche Kostenregelung zu bestätigen.</w:t>
      </w:r>
    </w:p>
    <w:p>
      <w:r>
        <w:rPr>
          <w:b/>
        </w:rPr>
        <w:t>E. 9</w:t>
      </w:r>
    </w:p>
    <w:p>
      <w:r>
        <w:t>Erweist sich das vorinstanzliche Urteil als rechtmässig und ist die Berufung von A. abzuweisen, so sind die Kosten des Berufungsverfahrens von Fr. 1’500.-- gestützt auf Art. 160 Abs. 1 StPO dem Berufungskläger aufzuerlegen.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